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0" w:rsidRDefault="00735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798"/>
        <w:gridCol w:w="5310"/>
        <w:gridCol w:w="1080"/>
      </w:tblGrid>
      <w:tr w:rsidR="0049217C" w:rsidTr="00EF3DEC">
        <w:trPr>
          <w:trHeight w:val="258"/>
        </w:trPr>
        <w:tc>
          <w:tcPr>
            <w:tcW w:w="1790" w:type="dxa"/>
          </w:tcPr>
          <w:p w:rsidR="0049217C" w:rsidRDefault="0049217C"/>
        </w:tc>
        <w:tc>
          <w:tcPr>
            <w:tcW w:w="4798" w:type="dxa"/>
          </w:tcPr>
          <w:p w:rsidR="0049217C" w:rsidRPr="00921B77" w:rsidRDefault="0049217C">
            <w:pPr>
              <w:rPr>
                <w:b/>
              </w:rPr>
            </w:pPr>
            <w:r w:rsidRPr="00921B77">
              <w:rPr>
                <w:b/>
              </w:rPr>
              <w:t>Unit 1:</w:t>
            </w:r>
            <w:r w:rsidR="0094329F" w:rsidRPr="00921B77">
              <w:rPr>
                <w:b/>
              </w:rPr>
              <w:t xml:space="preserve"> Structure of Text</w:t>
            </w:r>
          </w:p>
        </w:tc>
        <w:tc>
          <w:tcPr>
            <w:tcW w:w="5310" w:type="dxa"/>
          </w:tcPr>
          <w:p w:rsidR="0049217C" w:rsidRPr="00921B77" w:rsidRDefault="0049217C" w:rsidP="0094329F">
            <w:pPr>
              <w:rPr>
                <w:b/>
              </w:rPr>
            </w:pPr>
            <w:r w:rsidRPr="00921B77">
              <w:rPr>
                <w:b/>
              </w:rPr>
              <w:t>Unit 2:</w:t>
            </w:r>
            <w:r w:rsidR="0094329F" w:rsidRPr="00921B77">
              <w:rPr>
                <w:b/>
              </w:rPr>
              <w:t xml:space="preserve"> </w:t>
            </w:r>
            <w:r w:rsidR="00385E77" w:rsidRPr="00921B77">
              <w:rPr>
                <w:b/>
              </w:rPr>
              <w:t>Text Development</w:t>
            </w:r>
          </w:p>
        </w:tc>
        <w:tc>
          <w:tcPr>
            <w:tcW w:w="1080" w:type="dxa"/>
            <w:vMerge w:val="restart"/>
            <w:textDirection w:val="tbRl"/>
          </w:tcPr>
          <w:p w:rsidR="0049217C" w:rsidRPr="0049217C" w:rsidRDefault="0049217C" w:rsidP="004921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217C">
              <w:rPr>
                <w:b/>
                <w:sz w:val="24"/>
                <w:szCs w:val="24"/>
              </w:rPr>
              <w:t>Review</w:t>
            </w:r>
          </w:p>
        </w:tc>
      </w:tr>
      <w:tr w:rsidR="00B93BE0" w:rsidTr="00B93BE0">
        <w:trPr>
          <w:trHeight w:val="467"/>
        </w:trPr>
        <w:tc>
          <w:tcPr>
            <w:tcW w:w="1790" w:type="dxa"/>
          </w:tcPr>
          <w:p w:rsidR="00B93BE0" w:rsidRDefault="00B93BE0">
            <w:r>
              <w:t>Focus Standards</w:t>
            </w:r>
          </w:p>
        </w:tc>
        <w:tc>
          <w:tcPr>
            <w:tcW w:w="4798" w:type="dxa"/>
          </w:tcPr>
          <w:p w:rsidR="00B93BE0" w:rsidRDefault="0094329F">
            <w:r>
              <w:t>RL5, RI5</w:t>
            </w:r>
          </w:p>
        </w:tc>
        <w:tc>
          <w:tcPr>
            <w:tcW w:w="5310" w:type="dxa"/>
          </w:tcPr>
          <w:p w:rsidR="00B93BE0" w:rsidRDefault="00385E77">
            <w:r>
              <w:t>RL3, RL5, RI3, W3, L1c, L2, L6</w:t>
            </w:r>
          </w:p>
        </w:tc>
        <w:tc>
          <w:tcPr>
            <w:tcW w:w="1080" w:type="dxa"/>
            <w:vMerge/>
          </w:tcPr>
          <w:p w:rsidR="00B93BE0" w:rsidRDefault="00B93BE0"/>
        </w:tc>
      </w:tr>
      <w:tr w:rsidR="0049217C" w:rsidTr="00EF3DEC">
        <w:trPr>
          <w:trHeight w:val="927"/>
        </w:trPr>
        <w:tc>
          <w:tcPr>
            <w:tcW w:w="1790" w:type="dxa"/>
          </w:tcPr>
          <w:p w:rsidR="0049217C" w:rsidRDefault="0049217C">
            <w:r>
              <w:t>Key Learning</w:t>
            </w:r>
          </w:p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385E77">
            <w:r>
              <w:t>Good readers use the structure and features of text to make sense of what they read.</w:t>
            </w:r>
          </w:p>
        </w:tc>
        <w:tc>
          <w:tcPr>
            <w:tcW w:w="5310" w:type="dxa"/>
          </w:tcPr>
          <w:p w:rsidR="0049217C" w:rsidRDefault="00385E77">
            <w:r>
              <w:t>Good readers understand that authors make choices about how text should unfold.</w:t>
            </w:r>
          </w:p>
          <w:p w:rsidR="00385E77" w:rsidRDefault="00385E77">
            <w:r>
              <w:t>Good writers understand how to tell a story.</w:t>
            </w:r>
          </w:p>
        </w:tc>
        <w:tc>
          <w:tcPr>
            <w:tcW w:w="1080" w:type="dxa"/>
            <w:vMerge/>
          </w:tcPr>
          <w:p w:rsidR="0049217C" w:rsidRDefault="0049217C"/>
        </w:tc>
      </w:tr>
      <w:tr w:rsidR="0049217C" w:rsidTr="00EF3DEC">
        <w:trPr>
          <w:trHeight w:val="2441"/>
        </w:trPr>
        <w:tc>
          <w:tcPr>
            <w:tcW w:w="1790" w:type="dxa"/>
          </w:tcPr>
          <w:p w:rsidR="0049217C" w:rsidRDefault="00C26E1D">
            <w:r>
              <w:t>Concepts</w:t>
            </w:r>
          </w:p>
          <w:p w:rsidR="0049217C" w:rsidRDefault="0049217C"/>
          <w:p w:rsidR="0049217C" w:rsidRDefault="0049217C"/>
          <w:p w:rsidR="0049217C" w:rsidRDefault="0049217C"/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385E77" w:rsidP="000C7020">
            <w:pPr>
              <w:ind w:left="360"/>
            </w:pPr>
            <w:r>
              <w:t>Literary Text Structure</w:t>
            </w:r>
          </w:p>
          <w:p w:rsidR="00385E77" w:rsidRDefault="00385E77" w:rsidP="000C7020">
            <w:pPr>
              <w:ind w:left="360"/>
            </w:pPr>
            <w:r>
              <w:t>Informative Text Structure</w:t>
            </w:r>
          </w:p>
          <w:p w:rsidR="00385E77" w:rsidRDefault="00385E77" w:rsidP="000C7020">
            <w:pPr>
              <w:ind w:left="360"/>
            </w:pPr>
            <w:r>
              <w:t>Text Features</w:t>
            </w:r>
          </w:p>
        </w:tc>
        <w:tc>
          <w:tcPr>
            <w:tcW w:w="5310" w:type="dxa"/>
          </w:tcPr>
          <w:p w:rsidR="0049217C" w:rsidRDefault="00385E77" w:rsidP="000C7020">
            <w:pPr>
              <w:ind w:left="360"/>
            </w:pPr>
            <w:r>
              <w:t>Plot Elements</w:t>
            </w:r>
          </w:p>
          <w:p w:rsidR="00385E77" w:rsidRDefault="00385E77" w:rsidP="000C7020">
            <w:pPr>
              <w:ind w:left="360"/>
            </w:pPr>
            <w:r>
              <w:t>Character Development</w:t>
            </w:r>
          </w:p>
          <w:p w:rsidR="00385E77" w:rsidRDefault="00385E77" w:rsidP="000C7020">
            <w:pPr>
              <w:ind w:left="360"/>
            </w:pPr>
            <w:r>
              <w:t>Idea Development</w:t>
            </w:r>
          </w:p>
          <w:p w:rsidR="00385E77" w:rsidRDefault="00385E77" w:rsidP="000C7020">
            <w:pPr>
              <w:ind w:left="360"/>
            </w:pPr>
            <w:r>
              <w:t>Writing Techniques</w:t>
            </w:r>
          </w:p>
        </w:tc>
        <w:tc>
          <w:tcPr>
            <w:tcW w:w="1080" w:type="dxa"/>
            <w:vMerge/>
          </w:tcPr>
          <w:p w:rsidR="0049217C" w:rsidRDefault="0049217C"/>
        </w:tc>
      </w:tr>
      <w:tr w:rsidR="000A66CE" w:rsidTr="000A66CE">
        <w:trPr>
          <w:trHeight w:val="368"/>
        </w:trPr>
        <w:tc>
          <w:tcPr>
            <w:tcW w:w="1790" w:type="dxa"/>
          </w:tcPr>
          <w:p w:rsidR="000A66CE" w:rsidRDefault="000A66CE">
            <w:r>
              <w:t>Duration</w:t>
            </w:r>
          </w:p>
          <w:p w:rsidR="000A66CE" w:rsidRDefault="000A66CE"/>
        </w:tc>
        <w:tc>
          <w:tcPr>
            <w:tcW w:w="4798" w:type="dxa"/>
          </w:tcPr>
          <w:p w:rsidR="000A66CE" w:rsidRDefault="000A66CE" w:rsidP="000A66CE">
            <w:r>
              <w:t>Aug.  27 – Oct. 9</w:t>
            </w:r>
          </w:p>
        </w:tc>
        <w:tc>
          <w:tcPr>
            <w:tcW w:w="5310" w:type="dxa"/>
          </w:tcPr>
          <w:p w:rsidR="000A66CE" w:rsidRDefault="000A66CE" w:rsidP="000A66CE">
            <w:r>
              <w:t>Oct. 15 – Nov. 16</w:t>
            </w:r>
          </w:p>
        </w:tc>
        <w:tc>
          <w:tcPr>
            <w:tcW w:w="1080" w:type="dxa"/>
            <w:vMerge/>
          </w:tcPr>
          <w:p w:rsidR="000A66CE" w:rsidRDefault="000A66CE"/>
        </w:tc>
      </w:tr>
      <w:tr w:rsidR="0049217C" w:rsidTr="00EF3DEC">
        <w:trPr>
          <w:trHeight w:val="273"/>
        </w:trPr>
        <w:tc>
          <w:tcPr>
            <w:tcW w:w="1790" w:type="dxa"/>
          </w:tcPr>
          <w:p w:rsidR="0049217C" w:rsidRDefault="000C7020">
            <w:r>
              <w:t xml:space="preserve">District </w:t>
            </w:r>
            <w:r w:rsidR="0049217C">
              <w:t>CA Window</w:t>
            </w:r>
          </w:p>
        </w:tc>
        <w:tc>
          <w:tcPr>
            <w:tcW w:w="4798" w:type="dxa"/>
          </w:tcPr>
          <w:p w:rsidR="0049217C" w:rsidRDefault="000C7020">
            <w:r>
              <w:t>#1 Oct. 1 – Oct. 17</w:t>
            </w:r>
          </w:p>
        </w:tc>
        <w:tc>
          <w:tcPr>
            <w:tcW w:w="5310" w:type="dxa"/>
          </w:tcPr>
          <w:p w:rsidR="0049217C" w:rsidRDefault="0049217C" w:rsidP="00385E77"/>
        </w:tc>
        <w:tc>
          <w:tcPr>
            <w:tcW w:w="1080" w:type="dxa"/>
            <w:vMerge/>
          </w:tcPr>
          <w:p w:rsidR="0049217C" w:rsidRDefault="0049217C"/>
        </w:tc>
      </w:tr>
      <w:tr w:rsidR="000C7020" w:rsidTr="00EF3DEC">
        <w:trPr>
          <w:trHeight w:val="273"/>
        </w:trPr>
        <w:tc>
          <w:tcPr>
            <w:tcW w:w="1790" w:type="dxa"/>
          </w:tcPr>
          <w:p w:rsidR="000C7020" w:rsidRDefault="000C7020">
            <w:r>
              <w:t>Suggested Resources</w:t>
            </w:r>
          </w:p>
        </w:tc>
        <w:tc>
          <w:tcPr>
            <w:tcW w:w="4798" w:type="dxa"/>
          </w:tcPr>
          <w:p w:rsidR="000C7020" w:rsidRDefault="000C7020"/>
        </w:tc>
        <w:tc>
          <w:tcPr>
            <w:tcW w:w="5310" w:type="dxa"/>
          </w:tcPr>
          <w:p w:rsidR="000C7020" w:rsidRDefault="00EA6BEA" w:rsidP="00385E77">
            <w:r>
              <w:t>Aaron’s Gift, Tuesday of the Other June</w:t>
            </w:r>
          </w:p>
        </w:tc>
        <w:tc>
          <w:tcPr>
            <w:tcW w:w="1080" w:type="dxa"/>
          </w:tcPr>
          <w:p w:rsidR="000C7020" w:rsidRDefault="000C7020"/>
        </w:tc>
      </w:tr>
      <w:tr w:rsidR="000C7020" w:rsidTr="00EF3DEC">
        <w:trPr>
          <w:trHeight w:val="273"/>
        </w:trPr>
        <w:tc>
          <w:tcPr>
            <w:tcW w:w="1790" w:type="dxa"/>
          </w:tcPr>
          <w:p w:rsidR="000C7020" w:rsidRDefault="000C7020">
            <w:r>
              <w:t>Notes</w:t>
            </w:r>
          </w:p>
          <w:p w:rsidR="000C7020" w:rsidRDefault="000C7020"/>
        </w:tc>
        <w:tc>
          <w:tcPr>
            <w:tcW w:w="4798" w:type="dxa"/>
          </w:tcPr>
          <w:p w:rsidR="000C7020" w:rsidRDefault="000C7020"/>
        </w:tc>
        <w:tc>
          <w:tcPr>
            <w:tcW w:w="5310" w:type="dxa"/>
          </w:tcPr>
          <w:p w:rsidR="000C7020" w:rsidRDefault="000C7020" w:rsidP="00385E77"/>
        </w:tc>
        <w:tc>
          <w:tcPr>
            <w:tcW w:w="1080" w:type="dxa"/>
          </w:tcPr>
          <w:p w:rsidR="000C7020" w:rsidRDefault="000C7020"/>
        </w:tc>
      </w:tr>
    </w:tbl>
    <w:p w:rsidR="007F49E1" w:rsidRDefault="007F49E1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F3DEC" w:rsidTr="00EF3DEC">
        <w:trPr>
          <w:trHeight w:val="252"/>
        </w:trPr>
        <w:tc>
          <w:tcPr>
            <w:tcW w:w="1788" w:type="dxa"/>
          </w:tcPr>
          <w:p w:rsidR="00EF3DEC" w:rsidRDefault="00EF3DEC" w:rsidP="00B93BE0"/>
        </w:tc>
        <w:tc>
          <w:tcPr>
            <w:tcW w:w="4021" w:type="dxa"/>
          </w:tcPr>
          <w:p w:rsidR="00EF3DEC" w:rsidRPr="00921B77" w:rsidRDefault="00EF3DEC" w:rsidP="00B93BE0">
            <w:pPr>
              <w:rPr>
                <w:b/>
              </w:rPr>
            </w:pPr>
            <w:r w:rsidRPr="00921B77">
              <w:rPr>
                <w:b/>
              </w:rPr>
              <w:t>Unit 3:</w:t>
            </w:r>
            <w:r w:rsidR="00385E77" w:rsidRPr="00921B77">
              <w:rPr>
                <w:b/>
              </w:rPr>
              <w:t xml:space="preserve"> Messages in Text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921B77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1B77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F3DEC" w:rsidRPr="00921B77" w:rsidRDefault="00EF3DEC" w:rsidP="00B93BE0">
            <w:pPr>
              <w:rPr>
                <w:b/>
              </w:rPr>
            </w:pPr>
            <w:r w:rsidRPr="00921B77">
              <w:rPr>
                <w:b/>
              </w:rPr>
              <w:t>Unit 4:</w:t>
            </w:r>
            <w:r w:rsidR="00385E77" w:rsidRPr="00921B77">
              <w:rPr>
                <w:b/>
              </w:rPr>
              <w:t xml:space="preserve"> Power of Words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78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385E77" w:rsidP="00B93BE0">
            <w:r>
              <w:t>RL1, RL2, RI1, RI2, RL5, W9a, RL9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385E77" w:rsidP="00B93BE0">
            <w:r>
              <w:t>RL4, RI4, L4, L5, RL7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</w:tr>
      <w:tr w:rsidR="00EF3DEC" w:rsidTr="007F49E1">
        <w:trPr>
          <w:trHeight w:val="907"/>
        </w:trPr>
        <w:tc>
          <w:tcPr>
            <w:tcW w:w="1788" w:type="dxa"/>
          </w:tcPr>
          <w:p w:rsidR="00EF3DEC" w:rsidRDefault="00EF3DEC" w:rsidP="00B93BE0">
            <w:r>
              <w:t>Key Learning</w:t>
            </w:r>
          </w:p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385E77" w:rsidP="00B93BE0">
            <w:r>
              <w:t>Good readers use details in text in order to understand the author’s message.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385E77" w:rsidP="00B93BE0">
            <w:r>
              <w:t>Good readers evaluate the word choices authors make.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4556F9">
        <w:trPr>
          <w:trHeight w:val="1475"/>
        </w:trPr>
        <w:tc>
          <w:tcPr>
            <w:tcW w:w="1788" w:type="dxa"/>
          </w:tcPr>
          <w:p w:rsidR="00EF3DEC" w:rsidRDefault="00C26E1D" w:rsidP="00B93BE0">
            <w:r>
              <w:t>Concepts</w:t>
            </w:r>
          </w:p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385E77" w:rsidP="000C7020">
            <w:pPr>
              <w:ind w:left="360"/>
            </w:pPr>
            <w:r>
              <w:t>Hidden Messages</w:t>
            </w:r>
          </w:p>
          <w:p w:rsidR="00385E77" w:rsidRDefault="00385E77" w:rsidP="000C7020">
            <w:pPr>
              <w:ind w:left="360"/>
            </w:pPr>
            <w:r>
              <w:t>Central Idea/Theme</w:t>
            </w:r>
          </w:p>
          <w:p w:rsidR="00385E77" w:rsidRDefault="00385E77" w:rsidP="000C7020">
            <w:pPr>
              <w:ind w:left="360"/>
            </w:pPr>
            <w:r>
              <w:t>Summarizing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385E77" w:rsidP="000C7020">
            <w:pPr>
              <w:ind w:left="360"/>
            </w:pPr>
            <w:r>
              <w:t>Word Relationships</w:t>
            </w:r>
          </w:p>
          <w:p w:rsidR="00385E77" w:rsidRDefault="00385E77" w:rsidP="000C7020">
            <w:pPr>
              <w:ind w:left="360"/>
            </w:pPr>
            <w:r>
              <w:t>Word Comprehension</w:t>
            </w:r>
          </w:p>
          <w:p w:rsidR="00385E77" w:rsidRDefault="00385E77" w:rsidP="000C7020">
            <w:pPr>
              <w:ind w:left="360"/>
            </w:pPr>
            <w:r>
              <w:t>Word Emotions</w:t>
            </w:r>
          </w:p>
          <w:p w:rsidR="00385E77" w:rsidRDefault="00385E77" w:rsidP="000C7020">
            <w:pPr>
              <w:ind w:left="360"/>
            </w:pPr>
            <w:r>
              <w:t>Word Impact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</w:tr>
      <w:tr w:rsidR="004556F9" w:rsidTr="004556F9">
        <w:trPr>
          <w:trHeight w:val="440"/>
        </w:trPr>
        <w:tc>
          <w:tcPr>
            <w:tcW w:w="1788" w:type="dxa"/>
          </w:tcPr>
          <w:p w:rsidR="004556F9" w:rsidRDefault="004556F9" w:rsidP="00B93BE0">
            <w:r>
              <w:t>Duration</w:t>
            </w:r>
          </w:p>
        </w:tc>
        <w:tc>
          <w:tcPr>
            <w:tcW w:w="4021" w:type="dxa"/>
          </w:tcPr>
          <w:p w:rsidR="004556F9" w:rsidRDefault="000A66CE" w:rsidP="004556F9">
            <w:r>
              <w:t>Nov. 26 – Jan. 9</w:t>
            </w:r>
          </w:p>
        </w:tc>
        <w:tc>
          <w:tcPr>
            <w:tcW w:w="1098" w:type="dxa"/>
            <w:vMerge/>
          </w:tcPr>
          <w:p w:rsidR="004556F9" w:rsidRDefault="004556F9" w:rsidP="00B93BE0"/>
        </w:tc>
        <w:tc>
          <w:tcPr>
            <w:tcW w:w="4990" w:type="dxa"/>
          </w:tcPr>
          <w:p w:rsidR="004556F9" w:rsidRDefault="000A66CE" w:rsidP="004556F9">
            <w:r>
              <w:t>Jan. 14 – Feb. 13</w:t>
            </w:r>
          </w:p>
        </w:tc>
        <w:tc>
          <w:tcPr>
            <w:tcW w:w="1098" w:type="dxa"/>
            <w:vMerge/>
          </w:tcPr>
          <w:p w:rsidR="004556F9" w:rsidRDefault="004556F9" w:rsidP="00B93BE0"/>
        </w:tc>
      </w:tr>
      <w:tr w:rsidR="00EF3DEC" w:rsidTr="007F49E1">
        <w:trPr>
          <w:trHeight w:val="282"/>
        </w:trPr>
        <w:tc>
          <w:tcPr>
            <w:tcW w:w="1788" w:type="dxa"/>
          </w:tcPr>
          <w:p w:rsidR="00EF3DEC" w:rsidRDefault="000C7020" w:rsidP="00B93BE0">
            <w:r>
              <w:t xml:space="preserve">District </w:t>
            </w:r>
            <w:r w:rsidR="00EF3DEC">
              <w:t>CA Window</w:t>
            </w:r>
          </w:p>
        </w:tc>
        <w:tc>
          <w:tcPr>
            <w:tcW w:w="4021" w:type="dxa"/>
          </w:tcPr>
          <w:p w:rsidR="00EF3DEC" w:rsidRDefault="000C7020" w:rsidP="000C7020">
            <w:r>
              <w:t>#2 Jan. 9 – Jan. 24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0C7020" w:rsidTr="007F49E1">
        <w:trPr>
          <w:trHeight w:val="282"/>
        </w:trPr>
        <w:tc>
          <w:tcPr>
            <w:tcW w:w="1788" w:type="dxa"/>
          </w:tcPr>
          <w:p w:rsidR="000C7020" w:rsidRDefault="000C7020" w:rsidP="00B93BE0">
            <w:r>
              <w:t>Suggested Resources</w:t>
            </w:r>
          </w:p>
        </w:tc>
        <w:tc>
          <w:tcPr>
            <w:tcW w:w="4021" w:type="dxa"/>
          </w:tcPr>
          <w:p w:rsidR="000C7020" w:rsidRDefault="000C7020" w:rsidP="000C7020"/>
        </w:tc>
        <w:tc>
          <w:tcPr>
            <w:tcW w:w="1098" w:type="dxa"/>
          </w:tcPr>
          <w:p w:rsidR="000C7020" w:rsidRDefault="000C7020" w:rsidP="00B93BE0"/>
        </w:tc>
        <w:tc>
          <w:tcPr>
            <w:tcW w:w="4990" w:type="dxa"/>
          </w:tcPr>
          <w:p w:rsidR="000C7020" w:rsidRDefault="00A010CE" w:rsidP="00B93BE0">
            <w:r>
              <w:t xml:space="preserve">Ray Bradbury, </w:t>
            </w:r>
            <w:proofErr w:type="spellStart"/>
            <w:r>
              <w:t>Sneetches</w:t>
            </w:r>
            <w:proofErr w:type="spellEnd"/>
            <w:r>
              <w:t>, No Thought of Reward</w:t>
            </w:r>
            <w:bookmarkStart w:id="0" w:name="_GoBack"/>
            <w:bookmarkEnd w:id="0"/>
          </w:p>
        </w:tc>
        <w:tc>
          <w:tcPr>
            <w:tcW w:w="1098" w:type="dxa"/>
          </w:tcPr>
          <w:p w:rsidR="000C7020" w:rsidRDefault="000C7020" w:rsidP="00B93BE0"/>
        </w:tc>
      </w:tr>
      <w:tr w:rsidR="000C7020" w:rsidTr="007F49E1">
        <w:trPr>
          <w:trHeight w:val="282"/>
        </w:trPr>
        <w:tc>
          <w:tcPr>
            <w:tcW w:w="1788" w:type="dxa"/>
          </w:tcPr>
          <w:p w:rsidR="000C7020" w:rsidRDefault="000C7020" w:rsidP="00B93BE0">
            <w:r>
              <w:t>Notes</w:t>
            </w:r>
          </w:p>
          <w:p w:rsidR="000C7020" w:rsidRDefault="000C7020" w:rsidP="00B93BE0"/>
        </w:tc>
        <w:tc>
          <w:tcPr>
            <w:tcW w:w="4021" w:type="dxa"/>
          </w:tcPr>
          <w:p w:rsidR="000C7020" w:rsidRDefault="000C7020" w:rsidP="000C7020"/>
        </w:tc>
        <w:tc>
          <w:tcPr>
            <w:tcW w:w="1098" w:type="dxa"/>
          </w:tcPr>
          <w:p w:rsidR="000C7020" w:rsidRDefault="000C7020" w:rsidP="00B93BE0"/>
        </w:tc>
        <w:tc>
          <w:tcPr>
            <w:tcW w:w="4990" w:type="dxa"/>
          </w:tcPr>
          <w:p w:rsidR="000C7020" w:rsidRDefault="000C7020" w:rsidP="00B93BE0"/>
        </w:tc>
        <w:tc>
          <w:tcPr>
            <w:tcW w:w="1098" w:type="dxa"/>
          </w:tcPr>
          <w:p w:rsidR="000C7020" w:rsidRDefault="000C7020" w:rsidP="00B93BE0"/>
        </w:tc>
      </w:tr>
    </w:tbl>
    <w:p w:rsidR="00403100" w:rsidRDefault="00403100"/>
    <w:p w:rsidR="00403100" w:rsidRDefault="00403100">
      <w:r>
        <w:br w:type="page"/>
      </w:r>
    </w:p>
    <w:p w:rsidR="007F49E1" w:rsidRDefault="007F4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Pr="00921B77" w:rsidRDefault="00ED6BF5" w:rsidP="00ED6BF5">
            <w:pPr>
              <w:rPr>
                <w:b/>
              </w:rPr>
            </w:pPr>
            <w:r w:rsidRPr="00921B77">
              <w:rPr>
                <w:b/>
              </w:rPr>
              <w:t>Unit 5:</w:t>
            </w:r>
            <w:r w:rsidR="00385E77" w:rsidRPr="00921B77">
              <w:rPr>
                <w:b/>
              </w:rPr>
              <w:t xml:space="preserve"> Author’s Perspective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921B77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21B77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Pr="00921B77" w:rsidRDefault="00ED6BF5" w:rsidP="00ED6BF5">
            <w:pPr>
              <w:rPr>
                <w:b/>
              </w:rPr>
            </w:pPr>
            <w:r w:rsidRPr="00921B77">
              <w:rPr>
                <w:b/>
              </w:rPr>
              <w:t>Unit 6:</w:t>
            </w:r>
            <w:r w:rsidR="00385E77" w:rsidRPr="00921B77">
              <w:rPr>
                <w:b/>
              </w:rPr>
              <w:t xml:space="preserve"> Argument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42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385E77" w:rsidP="00B93BE0">
            <w:r>
              <w:t>RI6, RL6, RI9, W2a-f, W4, W5, W6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385E77" w:rsidP="00B93BE0">
            <w:r>
              <w:t>RI8, RI4, SL3, SL4, SL5, SL6, W1, W8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385E77" w:rsidP="00B93BE0">
            <w:r>
              <w:t>Good Readers understand that authors achieve their purpose by controlling what the reader knows.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385E77" w:rsidP="00B93BE0">
            <w:r>
              <w:t>Good arguments are supported with relevant reasons and evidence.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B93BE0">
        <w:trPr>
          <w:trHeight w:val="2374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385E77" w:rsidP="000C7020">
            <w:pPr>
              <w:ind w:left="360"/>
            </w:pPr>
            <w:r>
              <w:t>Point of View</w:t>
            </w:r>
          </w:p>
          <w:p w:rsidR="00385E77" w:rsidRDefault="00385E77" w:rsidP="000C7020">
            <w:pPr>
              <w:ind w:left="360"/>
            </w:pPr>
            <w:r>
              <w:t>Author’s Presentation</w:t>
            </w:r>
          </w:p>
          <w:p w:rsidR="00385E77" w:rsidRDefault="00385E77" w:rsidP="000C7020">
            <w:pPr>
              <w:ind w:left="360"/>
            </w:pPr>
            <w:r>
              <w:t>Informational Writing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385E77" w:rsidP="000C7020">
            <w:pPr>
              <w:ind w:left="360"/>
            </w:pPr>
            <w:r>
              <w:t>Components of Argument</w:t>
            </w:r>
          </w:p>
          <w:p w:rsidR="00385E77" w:rsidRDefault="00385E77" w:rsidP="000C7020">
            <w:pPr>
              <w:ind w:left="360"/>
            </w:pPr>
            <w:r>
              <w:t>Persuasive Techniques</w:t>
            </w:r>
          </w:p>
          <w:p w:rsidR="00385E77" w:rsidRDefault="00385E77" w:rsidP="000C7020">
            <w:pPr>
              <w:ind w:left="360"/>
            </w:pPr>
            <w:r>
              <w:t>Bias</w:t>
            </w:r>
          </w:p>
          <w:p w:rsidR="00385E77" w:rsidRDefault="00385E77" w:rsidP="000C7020">
            <w:pPr>
              <w:ind w:left="360"/>
            </w:pPr>
            <w:r>
              <w:t>Effective Argument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</w:tr>
      <w:tr w:rsidR="004556F9" w:rsidTr="004556F9">
        <w:trPr>
          <w:trHeight w:val="377"/>
        </w:trPr>
        <w:tc>
          <w:tcPr>
            <w:tcW w:w="1788" w:type="dxa"/>
          </w:tcPr>
          <w:p w:rsidR="004556F9" w:rsidRDefault="004556F9" w:rsidP="00B93BE0">
            <w:r>
              <w:t>Duration</w:t>
            </w:r>
          </w:p>
        </w:tc>
        <w:tc>
          <w:tcPr>
            <w:tcW w:w="4021" w:type="dxa"/>
          </w:tcPr>
          <w:p w:rsidR="004556F9" w:rsidRDefault="000A66CE" w:rsidP="004556F9">
            <w:r>
              <w:t>Feb.  19 – Mar. 19</w:t>
            </w:r>
          </w:p>
        </w:tc>
        <w:tc>
          <w:tcPr>
            <w:tcW w:w="1098" w:type="dxa"/>
            <w:vMerge/>
          </w:tcPr>
          <w:p w:rsidR="004556F9" w:rsidRDefault="004556F9" w:rsidP="00B93BE0"/>
        </w:tc>
        <w:tc>
          <w:tcPr>
            <w:tcW w:w="4990" w:type="dxa"/>
          </w:tcPr>
          <w:p w:rsidR="004556F9" w:rsidRDefault="000A66CE" w:rsidP="004556F9">
            <w:r>
              <w:t>Mar. 25 – May 13</w:t>
            </w:r>
          </w:p>
        </w:tc>
        <w:tc>
          <w:tcPr>
            <w:tcW w:w="1098" w:type="dxa"/>
            <w:vMerge/>
          </w:tcPr>
          <w:p w:rsidR="004556F9" w:rsidRDefault="004556F9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0C7020" w:rsidP="00B93BE0">
            <w:r>
              <w:t xml:space="preserve">District </w:t>
            </w:r>
            <w:r w:rsidR="00ED6BF5">
              <w:t>CA Window</w:t>
            </w:r>
          </w:p>
        </w:tc>
        <w:tc>
          <w:tcPr>
            <w:tcW w:w="4021" w:type="dxa"/>
          </w:tcPr>
          <w:p w:rsidR="00ED6BF5" w:rsidRDefault="000C7020" w:rsidP="000C7020">
            <w:r>
              <w:t xml:space="preserve">#3 March </w:t>
            </w:r>
            <w:r w:rsidR="00385E77">
              <w:t>6 –</w:t>
            </w:r>
            <w:r>
              <w:t xml:space="preserve"> April </w:t>
            </w:r>
            <w:r w:rsidR="00385E77">
              <w:t>10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/>
        </w:tc>
        <w:tc>
          <w:tcPr>
            <w:tcW w:w="1098" w:type="dxa"/>
            <w:vMerge/>
          </w:tcPr>
          <w:p w:rsidR="00ED6BF5" w:rsidRDefault="00ED6BF5" w:rsidP="00B93BE0"/>
        </w:tc>
      </w:tr>
      <w:tr w:rsidR="000C7020" w:rsidTr="00B93BE0">
        <w:trPr>
          <w:trHeight w:val="282"/>
        </w:trPr>
        <w:tc>
          <w:tcPr>
            <w:tcW w:w="1788" w:type="dxa"/>
          </w:tcPr>
          <w:p w:rsidR="000C7020" w:rsidRDefault="000C7020" w:rsidP="000C7020">
            <w:r>
              <w:t>Suggested Resources</w:t>
            </w:r>
          </w:p>
        </w:tc>
        <w:tc>
          <w:tcPr>
            <w:tcW w:w="4021" w:type="dxa"/>
          </w:tcPr>
          <w:p w:rsidR="000C7020" w:rsidRDefault="000C7020" w:rsidP="000C7020"/>
        </w:tc>
        <w:tc>
          <w:tcPr>
            <w:tcW w:w="1098" w:type="dxa"/>
          </w:tcPr>
          <w:p w:rsidR="000C7020" w:rsidRDefault="000C7020" w:rsidP="00B93BE0"/>
        </w:tc>
        <w:tc>
          <w:tcPr>
            <w:tcW w:w="4990" w:type="dxa"/>
          </w:tcPr>
          <w:p w:rsidR="000C7020" w:rsidRDefault="000C7020" w:rsidP="00B93BE0"/>
        </w:tc>
        <w:tc>
          <w:tcPr>
            <w:tcW w:w="1098" w:type="dxa"/>
          </w:tcPr>
          <w:p w:rsidR="000C7020" w:rsidRDefault="000C7020" w:rsidP="00B93BE0"/>
        </w:tc>
      </w:tr>
      <w:tr w:rsidR="000C7020" w:rsidTr="00B93BE0">
        <w:trPr>
          <w:trHeight w:val="282"/>
        </w:trPr>
        <w:tc>
          <w:tcPr>
            <w:tcW w:w="1788" w:type="dxa"/>
          </w:tcPr>
          <w:p w:rsidR="000C7020" w:rsidRDefault="000C7020" w:rsidP="000C7020">
            <w:r>
              <w:t>Notes</w:t>
            </w:r>
          </w:p>
        </w:tc>
        <w:tc>
          <w:tcPr>
            <w:tcW w:w="4021" w:type="dxa"/>
          </w:tcPr>
          <w:p w:rsidR="000C7020" w:rsidRDefault="000C7020" w:rsidP="000C7020"/>
        </w:tc>
        <w:tc>
          <w:tcPr>
            <w:tcW w:w="1098" w:type="dxa"/>
          </w:tcPr>
          <w:p w:rsidR="000C7020" w:rsidRDefault="000C7020" w:rsidP="00B93BE0"/>
        </w:tc>
        <w:tc>
          <w:tcPr>
            <w:tcW w:w="4990" w:type="dxa"/>
          </w:tcPr>
          <w:p w:rsidR="000C7020" w:rsidRDefault="000C7020" w:rsidP="00B93BE0"/>
        </w:tc>
        <w:tc>
          <w:tcPr>
            <w:tcW w:w="1098" w:type="dxa"/>
          </w:tcPr>
          <w:p w:rsidR="000C7020" w:rsidRDefault="000C7020" w:rsidP="00B93BE0"/>
        </w:tc>
      </w:tr>
    </w:tbl>
    <w:p w:rsidR="00403100" w:rsidRDefault="00403100"/>
    <w:p w:rsidR="00403100" w:rsidRDefault="00403100">
      <w:r>
        <w:br w:type="page"/>
      </w:r>
    </w:p>
    <w:p w:rsidR="004B29DB" w:rsidRDefault="004B29DB"/>
    <w:p w:rsidR="00ED6BF5" w:rsidRDefault="00ED6B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1098"/>
      </w:tblGrid>
      <w:tr w:rsidR="00921B77" w:rsidTr="00B93BE0">
        <w:trPr>
          <w:trHeight w:val="252"/>
        </w:trPr>
        <w:tc>
          <w:tcPr>
            <w:tcW w:w="1788" w:type="dxa"/>
          </w:tcPr>
          <w:p w:rsidR="00921B77" w:rsidRDefault="00921B77" w:rsidP="00B93BE0"/>
        </w:tc>
        <w:tc>
          <w:tcPr>
            <w:tcW w:w="4021" w:type="dxa"/>
          </w:tcPr>
          <w:p w:rsidR="00921B77" w:rsidRPr="004556F9" w:rsidRDefault="004556F9" w:rsidP="00ED6BF5">
            <w:pPr>
              <w:rPr>
                <w:b/>
              </w:rPr>
            </w:pPr>
            <w:r w:rsidRPr="004556F9">
              <w:rPr>
                <w:b/>
              </w:rPr>
              <w:t>Unit 7: Multimedia</w:t>
            </w:r>
          </w:p>
        </w:tc>
        <w:tc>
          <w:tcPr>
            <w:tcW w:w="1098" w:type="dxa"/>
            <w:vMerge w:val="restart"/>
            <w:textDirection w:val="tbRl"/>
          </w:tcPr>
          <w:p w:rsidR="00921B77" w:rsidRPr="00EF3DEC" w:rsidRDefault="00921B77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1098" w:type="dxa"/>
            <w:vMerge w:val="restart"/>
            <w:textDirection w:val="tbRl"/>
          </w:tcPr>
          <w:p w:rsidR="00921B77" w:rsidRPr="00EF3DEC" w:rsidRDefault="00921B77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21B77" w:rsidTr="00403100">
        <w:trPr>
          <w:trHeight w:val="413"/>
        </w:trPr>
        <w:tc>
          <w:tcPr>
            <w:tcW w:w="1788" w:type="dxa"/>
          </w:tcPr>
          <w:p w:rsidR="00921B77" w:rsidRDefault="00921B77" w:rsidP="00B93BE0">
            <w:r>
              <w:t>Focus Standards</w:t>
            </w:r>
          </w:p>
        </w:tc>
        <w:tc>
          <w:tcPr>
            <w:tcW w:w="4021" w:type="dxa"/>
          </w:tcPr>
          <w:p w:rsidR="00921B77" w:rsidRDefault="00921B77" w:rsidP="00B93BE0">
            <w:r>
              <w:t>RI7, RL7, W9, L3, SL2, W8</w:t>
            </w:r>
          </w:p>
        </w:tc>
        <w:tc>
          <w:tcPr>
            <w:tcW w:w="1098" w:type="dxa"/>
            <w:vMerge/>
          </w:tcPr>
          <w:p w:rsidR="00921B77" w:rsidRDefault="00921B77" w:rsidP="00B93BE0"/>
        </w:tc>
        <w:tc>
          <w:tcPr>
            <w:tcW w:w="1098" w:type="dxa"/>
            <w:vMerge/>
          </w:tcPr>
          <w:p w:rsidR="00921B77" w:rsidRDefault="00921B77" w:rsidP="00B93BE0"/>
        </w:tc>
      </w:tr>
      <w:tr w:rsidR="00921B77" w:rsidTr="00B93BE0">
        <w:trPr>
          <w:trHeight w:val="907"/>
        </w:trPr>
        <w:tc>
          <w:tcPr>
            <w:tcW w:w="1788" w:type="dxa"/>
          </w:tcPr>
          <w:p w:rsidR="00921B77" w:rsidRDefault="00921B77" w:rsidP="00B93BE0">
            <w:r>
              <w:t>Key Learning</w:t>
            </w:r>
          </w:p>
          <w:p w:rsidR="00921B77" w:rsidRDefault="00921B77" w:rsidP="00B93BE0"/>
          <w:p w:rsidR="00921B77" w:rsidRDefault="00921B77" w:rsidP="00B93BE0"/>
        </w:tc>
        <w:tc>
          <w:tcPr>
            <w:tcW w:w="4021" w:type="dxa"/>
          </w:tcPr>
          <w:p w:rsidR="00921B77" w:rsidRDefault="00921B77" w:rsidP="009E021E">
            <w:r w:rsidRPr="009E021E">
              <w:t>Good readers</w:t>
            </w:r>
            <w:r>
              <w:t xml:space="preserve"> </w:t>
            </w:r>
            <w:r w:rsidRPr="009E021E">
              <w:t>understand that messages can be presented in many formats.</w:t>
            </w:r>
          </w:p>
        </w:tc>
        <w:tc>
          <w:tcPr>
            <w:tcW w:w="1098" w:type="dxa"/>
            <w:vMerge/>
          </w:tcPr>
          <w:p w:rsidR="00921B77" w:rsidRDefault="00921B77" w:rsidP="00B93BE0"/>
        </w:tc>
        <w:tc>
          <w:tcPr>
            <w:tcW w:w="1098" w:type="dxa"/>
            <w:vMerge/>
          </w:tcPr>
          <w:p w:rsidR="00921B77" w:rsidRDefault="00921B77" w:rsidP="00B93BE0"/>
        </w:tc>
      </w:tr>
      <w:tr w:rsidR="00921B77" w:rsidTr="000C7020">
        <w:trPr>
          <w:trHeight w:val="1763"/>
        </w:trPr>
        <w:tc>
          <w:tcPr>
            <w:tcW w:w="1788" w:type="dxa"/>
          </w:tcPr>
          <w:p w:rsidR="00921B77" w:rsidRDefault="00921B77" w:rsidP="00B93BE0">
            <w:r>
              <w:t>Concepts</w:t>
            </w:r>
          </w:p>
          <w:p w:rsidR="00921B77" w:rsidRDefault="00921B77" w:rsidP="00B93BE0"/>
          <w:p w:rsidR="00921B77" w:rsidRDefault="00921B77" w:rsidP="00B93BE0"/>
          <w:p w:rsidR="00921B77" w:rsidRDefault="00921B77" w:rsidP="00B93BE0"/>
          <w:p w:rsidR="00921B77" w:rsidRDefault="00921B77" w:rsidP="00B93BE0"/>
        </w:tc>
        <w:tc>
          <w:tcPr>
            <w:tcW w:w="4021" w:type="dxa"/>
          </w:tcPr>
          <w:p w:rsidR="00921B77" w:rsidRDefault="00921B77" w:rsidP="000C7020">
            <w:pPr>
              <w:ind w:left="360"/>
            </w:pPr>
            <w:r>
              <w:t>Integration of Information</w:t>
            </w:r>
          </w:p>
          <w:p w:rsidR="00921B77" w:rsidRDefault="00921B77" w:rsidP="000C7020">
            <w:pPr>
              <w:ind w:left="360"/>
            </w:pPr>
            <w:r>
              <w:t>Visual Text</w:t>
            </w:r>
          </w:p>
        </w:tc>
        <w:tc>
          <w:tcPr>
            <w:tcW w:w="1098" w:type="dxa"/>
            <w:vMerge/>
          </w:tcPr>
          <w:p w:rsidR="00921B77" w:rsidRDefault="00921B77" w:rsidP="00B93BE0"/>
        </w:tc>
        <w:tc>
          <w:tcPr>
            <w:tcW w:w="1098" w:type="dxa"/>
            <w:vMerge/>
          </w:tcPr>
          <w:p w:rsidR="00921B77" w:rsidRDefault="00921B77" w:rsidP="00B93BE0"/>
        </w:tc>
      </w:tr>
      <w:tr w:rsidR="000C7020" w:rsidTr="000C7020">
        <w:trPr>
          <w:trHeight w:val="548"/>
        </w:trPr>
        <w:tc>
          <w:tcPr>
            <w:tcW w:w="1788" w:type="dxa"/>
          </w:tcPr>
          <w:p w:rsidR="000C7020" w:rsidRDefault="000C7020" w:rsidP="00B93BE0">
            <w:r>
              <w:t>Duration</w:t>
            </w:r>
          </w:p>
          <w:p w:rsidR="000C7020" w:rsidRDefault="000C7020" w:rsidP="00B93BE0"/>
          <w:p w:rsidR="000C7020" w:rsidRDefault="000C7020" w:rsidP="00B93BE0"/>
        </w:tc>
        <w:tc>
          <w:tcPr>
            <w:tcW w:w="4021" w:type="dxa"/>
          </w:tcPr>
          <w:p w:rsidR="000C7020" w:rsidRDefault="00952750" w:rsidP="00952750">
            <w:r>
              <w:t>May 15 – June 5</w:t>
            </w:r>
          </w:p>
        </w:tc>
        <w:tc>
          <w:tcPr>
            <w:tcW w:w="1098" w:type="dxa"/>
            <w:vMerge/>
          </w:tcPr>
          <w:p w:rsidR="000C7020" w:rsidRDefault="000C7020" w:rsidP="00B93BE0"/>
        </w:tc>
        <w:tc>
          <w:tcPr>
            <w:tcW w:w="1098" w:type="dxa"/>
            <w:vMerge/>
          </w:tcPr>
          <w:p w:rsidR="000C7020" w:rsidRDefault="000C7020" w:rsidP="00B93BE0"/>
        </w:tc>
      </w:tr>
      <w:tr w:rsidR="00921B77" w:rsidTr="00B93BE0">
        <w:trPr>
          <w:trHeight w:val="282"/>
        </w:trPr>
        <w:tc>
          <w:tcPr>
            <w:tcW w:w="1788" w:type="dxa"/>
          </w:tcPr>
          <w:p w:rsidR="00921B77" w:rsidRDefault="000C7020" w:rsidP="00B93BE0">
            <w:r>
              <w:t xml:space="preserve">District </w:t>
            </w:r>
            <w:r w:rsidR="00921B77">
              <w:t>CA Window</w:t>
            </w:r>
          </w:p>
        </w:tc>
        <w:tc>
          <w:tcPr>
            <w:tcW w:w="4021" w:type="dxa"/>
          </w:tcPr>
          <w:p w:rsidR="00921B77" w:rsidRDefault="00921B77" w:rsidP="00B93BE0"/>
        </w:tc>
        <w:tc>
          <w:tcPr>
            <w:tcW w:w="1098" w:type="dxa"/>
            <w:vMerge/>
          </w:tcPr>
          <w:p w:rsidR="00921B77" w:rsidRDefault="00921B77" w:rsidP="00B93BE0"/>
        </w:tc>
        <w:tc>
          <w:tcPr>
            <w:tcW w:w="1098" w:type="dxa"/>
            <w:vMerge/>
          </w:tcPr>
          <w:p w:rsidR="00921B77" w:rsidRDefault="00921B77" w:rsidP="00B93BE0"/>
        </w:tc>
      </w:tr>
      <w:tr w:rsidR="000C7020" w:rsidTr="00B93BE0">
        <w:trPr>
          <w:trHeight w:val="282"/>
        </w:trPr>
        <w:tc>
          <w:tcPr>
            <w:tcW w:w="1788" w:type="dxa"/>
          </w:tcPr>
          <w:p w:rsidR="000C7020" w:rsidRDefault="0082520F" w:rsidP="00B93BE0">
            <w:r>
              <w:t>Suggested Resources</w:t>
            </w:r>
          </w:p>
        </w:tc>
        <w:tc>
          <w:tcPr>
            <w:tcW w:w="4021" w:type="dxa"/>
          </w:tcPr>
          <w:p w:rsidR="000C7020" w:rsidRDefault="00952750" w:rsidP="00B93BE0">
            <w:r>
              <w:t>Phantom Tollbooth, Spelling Bee</w:t>
            </w:r>
          </w:p>
        </w:tc>
        <w:tc>
          <w:tcPr>
            <w:tcW w:w="1098" w:type="dxa"/>
          </w:tcPr>
          <w:p w:rsidR="000C7020" w:rsidRDefault="000C7020" w:rsidP="00B93BE0"/>
        </w:tc>
        <w:tc>
          <w:tcPr>
            <w:tcW w:w="1098" w:type="dxa"/>
          </w:tcPr>
          <w:p w:rsidR="000C7020" w:rsidRDefault="000C7020" w:rsidP="00B93BE0"/>
        </w:tc>
      </w:tr>
      <w:tr w:rsidR="000C7020" w:rsidTr="00B93BE0">
        <w:trPr>
          <w:trHeight w:val="282"/>
        </w:trPr>
        <w:tc>
          <w:tcPr>
            <w:tcW w:w="1788" w:type="dxa"/>
          </w:tcPr>
          <w:p w:rsidR="000C7020" w:rsidRDefault="0082520F" w:rsidP="00B93BE0">
            <w:r>
              <w:t>Notes</w:t>
            </w:r>
          </w:p>
        </w:tc>
        <w:tc>
          <w:tcPr>
            <w:tcW w:w="4021" w:type="dxa"/>
          </w:tcPr>
          <w:p w:rsidR="000C7020" w:rsidRDefault="000C7020" w:rsidP="00B93BE0"/>
        </w:tc>
        <w:tc>
          <w:tcPr>
            <w:tcW w:w="1098" w:type="dxa"/>
          </w:tcPr>
          <w:p w:rsidR="000C7020" w:rsidRDefault="000C7020" w:rsidP="00B93BE0"/>
        </w:tc>
        <w:tc>
          <w:tcPr>
            <w:tcW w:w="1098" w:type="dxa"/>
          </w:tcPr>
          <w:p w:rsidR="000C7020" w:rsidRDefault="000C7020" w:rsidP="00B93BE0"/>
        </w:tc>
      </w:tr>
    </w:tbl>
    <w:p w:rsidR="004B29DB" w:rsidRDefault="004B29DB"/>
    <w:sectPr w:rsidR="004B29DB" w:rsidSect="007F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20" w:rsidRDefault="000C7020" w:rsidP="00ED6BF5">
      <w:pPr>
        <w:spacing w:after="0" w:line="240" w:lineRule="auto"/>
      </w:pPr>
      <w:r>
        <w:separator/>
      </w:r>
    </w:p>
  </w:endnote>
  <w:endnote w:type="continuationSeparator" w:id="0">
    <w:p w:rsidR="000C7020" w:rsidRDefault="000C7020" w:rsidP="00E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0" w:rsidRDefault="000C7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0" w:rsidRDefault="000C7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0" w:rsidRDefault="000C7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20" w:rsidRDefault="000C7020" w:rsidP="00ED6BF5">
      <w:pPr>
        <w:spacing w:after="0" w:line="240" w:lineRule="auto"/>
      </w:pPr>
      <w:r>
        <w:separator/>
      </w:r>
    </w:p>
  </w:footnote>
  <w:footnote w:type="continuationSeparator" w:id="0">
    <w:p w:rsidR="000C7020" w:rsidRDefault="000C7020" w:rsidP="00ED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0" w:rsidRDefault="000C7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0" w:rsidRDefault="00A010CE">
    <w:pPr>
      <w:pStyle w:val="Header"/>
    </w:pPr>
    <w:sdt>
      <w:sdtPr>
        <w:id w:val="-129505067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7020">
      <w:t>Grade 6</w:t>
    </w:r>
    <w:r w:rsidR="000C7020">
      <w:ptab w:relativeTo="margin" w:alignment="center" w:leader="none"/>
    </w:r>
    <w:r w:rsidR="000C7020">
      <w:t>Scope &amp; Sequence</w:t>
    </w:r>
    <w:r w:rsidR="000C7020">
      <w:ptab w:relativeTo="margin" w:alignment="right" w:leader="none"/>
    </w:r>
    <w:r w:rsidR="000C7020">
      <w:t>2012-13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20" w:rsidRDefault="000C7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34"/>
    <w:multiLevelType w:val="hybridMultilevel"/>
    <w:tmpl w:val="B7BA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C6943"/>
    <w:multiLevelType w:val="hybridMultilevel"/>
    <w:tmpl w:val="C7B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8328D"/>
    <w:multiLevelType w:val="hybridMultilevel"/>
    <w:tmpl w:val="E952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64A2"/>
    <w:multiLevelType w:val="hybridMultilevel"/>
    <w:tmpl w:val="C91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744F"/>
    <w:multiLevelType w:val="hybridMultilevel"/>
    <w:tmpl w:val="AD2A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E3063"/>
    <w:multiLevelType w:val="hybridMultilevel"/>
    <w:tmpl w:val="022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56C9"/>
    <w:multiLevelType w:val="hybridMultilevel"/>
    <w:tmpl w:val="5642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E2518"/>
    <w:multiLevelType w:val="hybridMultilevel"/>
    <w:tmpl w:val="91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0"/>
    <w:rsid w:val="000A66CE"/>
    <w:rsid w:val="000C7020"/>
    <w:rsid w:val="002158AD"/>
    <w:rsid w:val="003279EF"/>
    <w:rsid w:val="00385E77"/>
    <w:rsid w:val="00403100"/>
    <w:rsid w:val="004556F9"/>
    <w:rsid w:val="0049217C"/>
    <w:rsid w:val="004B29DB"/>
    <w:rsid w:val="00735CB0"/>
    <w:rsid w:val="007F49E1"/>
    <w:rsid w:val="0082520F"/>
    <w:rsid w:val="00921B77"/>
    <w:rsid w:val="0094329F"/>
    <w:rsid w:val="00952750"/>
    <w:rsid w:val="009D23C6"/>
    <w:rsid w:val="009E021E"/>
    <w:rsid w:val="00A010CE"/>
    <w:rsid w:val="00A51A57"/>
    <w:rsid w:val="00A613B1"/>
    <w:rsid w:val="00B93BE0"/>
    <w:rsid w:val="00C26E1D"/>
    <w:rsid w:val="00E32E1F"/>
    <w:rsid w:val="00EA6BEA"/>
    <w:rsid w:val="00ED6BF5"/>
    <w:rsid w:val="00EF3DEC"/>
    <w:rsid w:val="00F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14</cp:revision>
  <cp:lastPrinted>2012-06-26T16:29:00Z</cp:lastPrinted>
  <dcterms:created xsi:type="dcterms:W3CDTF">2012-06-25T18:30:00Z</dcterms:created>
  <dcterms:modified xsi:type="dcterms:W3CDTF">2012-07-17T12:01:00Z</dcterms:modified>
</cp:coreProperties>
</file>